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3CFC9A43" w14:textId="3A3593CE" w:rsidR="003423F3" w:rsidRDefault="003423F3" w:rsidP="003423F3">
      <w:pPr>
        <w:pStyle w:val="SECPaperTitle"/>
        <w:spacing w:before="0" w:after="240"/>
        <w:rPr>
          <w:sz w:val="30"/>
          <w:szCs w:val="30"/>
        </w:rPr>
      </w:pPr>
      <w:r>
        <w:rPr>
          <w:noProof/>
          <w:lang w:eastAsia="en-GB"/>
        </w:rPr>
        <mc:AlternateContent>
          <mc:Choice Requires="wps">
            <w:drawing>
              <wp:anchor distT="45720" distB="45720" distL="114300" distR="114300" simplePos="0" relativeHeight="251661312" behindDoc="0" locked="0" layoutInCell="1" allowOverlap="1" wp14:anchorId="1FAA20DD" wp14:editId="5CBB9041">
                <wp:simplePos x="0" y="0"/>
                <wp:positionH relativeFrom="margin">
                  <wp:align>left</wp:align>
                </wp:positionH>
                <wp:positionV relativeFrom="paragraph">
                  <wp:posOffset>0</wp:posOffset>
                </wp:positionV>
                <wp:extent cx="5770880" cy="466725"/>
                <wp:effectExtent l="0" t="0" r="2032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66725"/>
                        </a:xfrm>
                        <a:prstGeom prst="rect">
                          <a:avLst/>
                        </a:prstGeom>
                        <a:solidFill>
                          <a:srgbClr val="FFFFFF"/>
                        </a:solidFill>
                        <a:ln w="9525">
                          <a:solidFill>
                            <a:srgbClr val="000000"/>
                          </a:solidFill>
                          <a:miter lim="800000"/>
                          <a:headEnd/>
                          <a:tailEnd/>
                        </a:ln>
                      </wps:spPr>
                      <wps:txbx>
                        <w:txbxContent>
                          <w:p w14:paraId="53885560" w14:textId="77777777" w:rsidR="003423F3" w:rsidRPr="001606E0" w:rsidRDefault="003423F3" w:rsidP="003423F3">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p w14:paraId="30401613" w14:textId="77777777" w:rsidR="003423F3" w:rsidRPr="003D092C" w:rsidRDefault="003423F3" w:rsidP="003423F3">
                            <w:pPr>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AA20DD" id="_x0000_t202" coordsize="21600,21600" o:spt="202" path="m,l,21600r21600,l21600,xe">
                <v:stroke joinstyle="miter"/>
                <v:path gradientshapeok="t" o:connecttype="rect"/>
              </v:shapetype>
              <v:shape id="Text Box 2" o:spid="_x0000_s1026" type="#_x0000_t202" style="position:absolute;left:0;text-align:left;margin-left:0;margin-top:0;width:454.4pt;height:36.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">
                <v:textbox>
                  <w:txbxContent>
                    <w:p w14:paraId="53885560" w14:textId="77777777" w:rsidR="003423F3" w:rsidRPr="001606E0" w:rsidRDefault="003423F3" w:rsidP="003423F3">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p w14:paraId="30401613" w14:textId="77777777" w:rsidR="003423F3" w:rsidRPr="003D092C" w:rsidRDefault="003423F3" w:rsidP="003423F3">
                      <w:pPr>
                        <w:rPr>
                          <w:sz w:val="24"/>
                        </w:rPr>
                      </w:pPr>
                    </w:p>
                  </w:txbxContent>
                </v:textbox>
                <w10:wrap type="square" anchorx="margin"/>
              </v:shape>
            </w:pict>
          </mc:Fallback>
        </mc:AlternateContent>
      </w:r>
      <w:r>
        <w:rPr>
          <w:sz w:val="30"/>
          <w:szCs w:val="30"/>
        </w:rPr>
        <w:t>SECMP</w:t>
      </w:r>
      <w:r w:rsidR="007646AA">
        <w:rPr>
          <w:sz w:val="30"/>
          <w:szCs w:val="30"/>
        </w:rPr>
        <w:t>0007</w:t>
      </w:r>
      <w:r>
        <w:rPr>
          <w:sz w:val="30"/>
          <w:szCs w:val="30"/>
        </w:rPr>
        <w:t xml:space="preserve"> ‘</w:t>
      </w:r>
      <w:r w:rsidR="007646AA" w:rsidRPr="007646AA">
        <w:rPr>
          <w:sz w:val="30"/>
          <w:szCs w:val="30"/>
        </w:rPr>
        <w:t>Firmware updates to IHDs and PPMIDs</w:t>
      </w:r>
      <w:r w:rsidR="007646AA">
        <w:rPr>
          <w:sz w:val="30"/>
          <w:szCs w:val="30"/>
        </w:rPr>
        <w:t>’</w:t>
      </w:r>
    </w:p>
    <w:p w14:paraId="1F0F8B34" w14:textId="2991E0F4" w:rsidR="003423F3" w:rsidRPr="00124F25" w:rsidRDefault="003423F3" w:rsidP="00124F25">
      <w:pPr>
        <w:pStyle w:val="SECPaperTitle"/>
        <w:spacing w:before="0" w:after="240"/>
        <w:rPr>
          <w:sz w:val="30"/>
          <w:szCs w:val="30"/>
        </w:rPr>
      </w:pPr>
      <w:r>
        <w:rPr>
          <w:sz w:val="30"/>
          <w:szCs w:val="30"/>
        </w:rPr>
        <w:t xml:space="preserve">Working Group </w:t>
      </w:r>
      <w:r w:rsidRPr="008E76FA">
        <w:rPr>
          <w:sz w:val="30"/>
          <w:szCs w:val="30"/>
        </w:rPr>
        <w:t>Meeting</w:t>
      </w:r>
      <w:r w:rsidR="005F6E62">
        <w:rPr>
          <w:sz w:val="30"/>
          <w:szCs w:val="30"/>
        </w:rPr>
        <w:t xml:space="preserve"> </w:t>
      </w:r>
      <w:r w:rsidR="00124F25">
        <w:rPr>
          <w:sz w:val="30"/>
          <w:szCs w:val="30"/>
        </w:rPr>
        <w:t xml:space="preserve">– </w:t>
      </w:r>
      <w:r w:rsidR="007646AA" w:rsidRPr="00124F25">
        <w:rPr>
          <w:sz w:val="30"/>
          <w:szCs w:val="30"/>
        </w:rPr>
        <w:t>1 May 2019</w:t>
      </w:r>
    </w:p>
    <w:p w14:paraId="325C0B3B" w14:textId="77777777" w:rsidR="00D70ECB" w:rsidRDefault="003423F3" w:rsidP="003423F3">
      <w:pPr>
        <w:pStyle w:val="SECPaperTitle"/>
        <w:spacing w:after="120"/>
      </w:pPr>
      <w:r>
        <w:rPr>
          <w:rFonts w:eastAsiaTheme="minorEastAsia" w:cs="Arial"/>
          <w:szCs w:val="32"/>
          <w:lang w:eastAsia="en-GB"/>
        </w:rPr>
        <w:t>Meeting summary</w:t>
      </w:r>
    </w:p>
    <w:p w14:paraId="102798E6" w14:textId="6B357BB4" w:rsidR="00E42FFB" w:rsidRDefault="00C408FF" w:rsidP="003423F3">
      <w:pPr>
        <w:pStyle w:val="Subtitle"/>
      </w:pPr>
      <w:r>
        <w:t>What are the benefits and drawback</w:t>
      </w:r>
      <w:r w:rsidR="002120E4">
        <w:t>s</w:t>
      </w:r>
      <w:r>
        <w:t xml:space="preserve"> of either </w:t>
      </w:r>
      <w:r w:rsidR="0021197D">
        <w:t>option</w:t>
      </w:r>
      <w:r>
        <w:t>?</w:t>
      </w:r>
    </w:p>
    <w:p w14:paraId="0F2D5BB9" w14:textId="7320CAF8" w:rsidR="0012045A" w:rsidRDefault="00C408FF" w:rsidP="00C408FF">
      <w:r>
        <w:t xml:space="preserve">The Working Group began by discussing the two solution options given in the </w:t>
      </w:r>
      <w:r w:rsidR="002120E4">
        <w:t xml:space="preserve">Data Communications Company (DCC) </w:t>
      </w:r>
      <w:r>
        <w:t xml:space="preserve">Preliminary Assessment. </w:t>
      </w:r>
      <w:r w:rsidR="002120E4">
        <w:t>In reference to option 2</w:t>
      </w:r>
      <w:r w:rsidR="00EF614D">
        <w:t xml:space="preserve"> ‘</w:t>
      </w:r>
      <w:r w:rsidR="00EF614D" w:rsidRPr="00D75F4F">
        <w:rPr>
          <w:i/>
        </w:rPr>
        <w:t>Extend Proven OTA Firmware Method</w:t>
      </w:r>
      <w:r w:rsidR="00EF614D">
        <w:t>’</w:t>
      </w:r>
      <w:r w:rsidR="002120E4">
        <w:t xml:space="preserve"> </w:t>
      </w:r>
      <w:r w:rsidR="004574F9">
        <w:t xml:space="preserve">given in </w:t>
      </w:r>
      <w:r w:rsidR="002120E4">
        <w:t>the assessment</w:t>
      </w:r>
      <w:r w:rsidR="00A01113">
        <w:t>,</w:t>
      </w:r>
      <w:r w:rsidR="002120E4">
        <w:t xml:space="preserve"> t</w:t>
      </w:r>
      <w:r>
        <w:t>he Proposer questioned why, if a Device on the Home Area Network (HAN) is on the Central Products List (CPL) should it need to go through Commercial Products Assurance (CPA), as this would considerabl</w:t>
      </w:r>
      <w:r w:rsidR="002120E4">
        <w:t xml:space="preserve">y </w:t>
      </w:r>
      <w:r>
        <w:t>increase the costs on Suppliers</w:t>
      </w:r>
      <w:r w:rsidR="00A01113">
        <w:t xml:space="preserve"> to implement the proposed solution</w:t>
      </w:r>
      <w:r>
        <w:t>.</w:t>
      </w:r>
      <w:r w:rsidR="006976EE">
        <w:t xml:space="preserve"> A </w:t>
      </w:r>
      <w:r w:rsidR="00C804F8">
        <w:t>device manufacturer</w:t>
      </w:r>
      <w:r w:rsidR="006976EE">
        <w:t xml:space="preserve"> member agreed with this assessment and advised that for their organisation, option 2 could not be explored due to the CPA requirement</w:t>
      </w:r>
      <w:r w:rsidR="00BC4FEE">
        <w:t xml:space="preserve">s whilst highlighting that option 2 would be difficult for device manufacturers to facilitate. </w:t>
      </w:r>
    </w:p>
    <w:p w14:paraId="79318BF7" w14:textId="0679F15E" w:rsidR="00C408FF" w:rsidRDefault="00BC4FEE" w:rsidP="00C408FF">
      <w:r>
        <w:t xml:space="preserve">The DCC were asked why it had explored option 2 in the first place, advising that it felt as though the Working Group’s comments had been ignored. The DCC confirmed that it was not their intention to ignore the Working Group and that option 2 had been explored as they believed it reduced the complexity of the solution as well as providing the Working Group and the Proposer an alternative to the original approach. </w:t>
      </w:r>
    </w:p>
    <w:p w14:paraId="2B8ED0D1" w14:textId="3A6B547D" w:rsidR="00A01113" w:rsidRDefault="00A01113" w:rsidP="00C408FF">
      <w:r>
        <w:t xml:space="preserve">Questions were also raised </w:t>
      </w:r>
      <w:proofErr w:type="gramStart"/>
      <w:r>
        <w:t>with regard to</w:t>
      </w:r>
      <w:proofErr w:type="gramEnd"/>
      <w:r>
        <w:t xml:space="preserve"> the </w:t>
      </w:r>
      <w:r w:rsidR="006A1B54">
        <w:t>£</w:t>
      </w:r>
      <w:r>
        <w:t xml:space="preserve">12.3 million cost </w:t>
      </w:r>
      <w:r w:rsidR="004574F9">
        <w:t xml:space="preserve">for </w:t>
      </w:r>
      <w:r>
        <w:t>option 1</w:t>
      </w:r>
      <w:r w:rsidR="00EF614D">
        <w:t xml:space="preserve"> ‘</w:t>
      </w:r>
      <w:r w:rsidR="00EF614D" w:rsidRPr="00D75F4F">
        <w:rPr>
          <w:i/>
        </w:rPr>
        <w:t>Original Approach, Zigbee OTA Delivery</w:t>
      </w:r>
      <w:r w:rsidR="00EF614D">
        <w:t>’</w:t>
      </w:r>
      <w:r>
        <w:t xml:space="preserve"> </w:t>
      </w:r>
      <w:r w:rsidR="004574F9">
        <w:t xml:space="preserve">given </w:t>
      </w:r>
      <w:r>
        <w:t>in the assessment, when it was supposed to be the original approach. The DCC noted that option 1 would require different processing patterns for the Data Service Provider (DSP), Communications Service Provider</w:t>
      </w:r>
      <w:r w:rsidR="004574F9">
        <w:t>s</w:t>
      </w:r>
      <w:r>
        <w:t xml:space="preserve"> (CSP</w:t>
      </w:r>
      <w:r w:rsidR="004574F9">
        <w:t>s</w:t>
      </w:r>
      <w:r>
        <w:t>) and the Communications Hub.</w:t>
      </w:r>
      <w:r w:rsidR="00AC4AE6">
        <w:t xml:space="preserve"> This was due to the requirement for new Service Request 11.4 requiring a change in the DSP and CSP interface in order to accommodate this.</w:t>
      </w:r>
      <w:r w:rsidR="00A55CA2">
        <w:t xml:space="preserve"> </w:t>
      </w:r>
    </w:p>
    <w:p w14:paraId="10B76DDB" w14:textId="77777777" w:rsidR="00BC4FEE" w:rsidRDefault="00BC4FEE" w:rsidP="00C408FF"/>
    <w:p w14:paraId="7363E651" w14:textId="76AB1638" w:rsidR="00AC4AE6" w:rsidRDefault="00AC4AE6" w:rsidP="00BC4FEE">
      <w:pPr>
        <w:pStyle w:val="Subheading"/>
      </w:pPr>
      <w:r>
        <w:t>Dual Supplier scenarios</w:t>
      </w:r>
    </w:p>
    <w:p w14:paraId="4495EEEC" w14:textId="16ADE5E8" w:rsidR="006976EE" w:rsidRDefault="00BC4FEE" w:rsidP="00C408FF">
      <w:r>
        <w:t>Whist discussing the benefits and drawbacks of each solution, dual Supplier sc</w:t>
      </w:r>
      <w:r w:rsidR="00EF614D">
        <w:t xml:space="preserve">enarios were discussed as having a significant impact. The DCC advised that the benefit of utilising Service Request 11.3 was that you know who the Responsible Supplier for the given meter is. The Working Group advised that the requirements for dual Supplier scenarios had already been agreed in previous Working Groups and that </w:t>
      </w:r>
      <w:r w:rsidR="00442BAA">
        <w:t>both options</w:t>
      </w:r>
      <w:r w:rsidR="00EF614D">
        <w:t xml:space="preserve"> would </w:t>
      </w:r>
      <w:r w:rsidR="00442BAA">
        <w:t>allow for either of</w:t>
      </w:r>
      <w:r w:rsidR="00EF614D">
        <w:t xml:space="preserve"> the Responsible Suppl</w:t>
      </w:r>
      <w:r w:rsidR="00442BAA">
        <w:t>i</w:t>
      </w:r>
      <w:r w:rsidR="00EF614D">
        <w:t>er</w:t>
      </w:r>
      <w:r w:rsidR="00442BAA">
        <w:t>s, as</w:t>
      </w:r>
      <w:r w:rsidR="00EF614D">
        <w:t xml:space="preserve"> according to the DSP</w:t>
      </w:r>
      <w:r w:rsidR="004574F9">
        <w:t>’</w:t>
      </w:r>
      <w:r w:rsidR="00EF614D">
        <w:t>s registration data</w:t>
      </w:r>
      <w:r w:rsidR="00442BAA">
        <w:t>, to submit the relevant Service Requests</w:t>
      </w:r>
      <w:r w:rsidR="00EF614D">
        <w:t xml:space="preserve">. SECAS noted that it was the Working Group’s intention for dual Supplier requirements to apply to </w:t>
      </w:r>
      <w:hyperlink r:id="rId8" w:history="1">
        <w:r w:rsidR="00EF614D" w:rsidRPr="00EF614D">
          <w:rPr>
            <w:rStyle w:val="Hyperlink"/>
          </w:rPr>
          <w:t>SECMP0024 ‘Enduring Approach to Communication Hub Firmware Management</w:t>
        </w:r>
        <w:r w:rsidR="00124F25">
          <w:rPr>
            <w:rStyle w:val="Hyperlink"/>
          </w:rPr>
          <w:t>’</w:t>
        </w:r>
      </w:hyperlink>
      <w:r w:rsidR="00EF614D">
        <w:t xml:space="preserve"> as well as this modification. </w:t>
      </w:r>
    </w:p>
    <w:p w14:paraId="59A918B1" w14:textId="307084F0" w:rsidR="00C408FF" w:rsidRDefault="00C408FF" w:rsidP="00C408FF">
      <w:pPr>
        <w:pStyle w:val="Subtitle"/>
      </w:pPr>
      <w:r>
        <w:t>Do the costs of either option present a strong business case?</w:t>
      </w:r>
    </w:p>
    <w:p w14:paraId="0B7FA3ED" w14:textId="115190C1" w:rsidR="00AC4AE6" w:rsidRDefault="00AC4AE6" w:rsidP="00C408FF">
      <w:r>
        <w:t xml:space="preserve">Suppliers and Other Parties agreed that the </w:t>
      </w:r>
      <w:r w:rsidR="002120E4">
        <w:t xml:space="preserve">Preliminary Assessment only </w:t>
      </w:r>
      <w:r>
        <w:t>considered</w:t>
      </w:r>
      <w:r w:rsidR="002120E4">
        <w:t xml:space="preserve"> the costs </w:t>
      </w:r>
      <w:r>
        <w:t>for</w:t>
      </w:r>
      <w:r w:rsidR="002120E4">
        <w:t xml:space="preserve"> the DCC</w:t>
      </w:r>
      <w:r>
        <w:t xml:space="preserve"> to test and implement the solution</w:t>
      </w:r>
      <w:r w:rsidR="00453B6C">
        <w:t xml:space="preserve"> but did not account for the costs on other</w:t>
      </w:r>
      <w:r>
        <w:t xml:space="preserve"> SEC Parties</w:t>
      </w:r>
      <w:r w:rsidR="002120E4">
        <w:t>.</w:t>
      </w:r>
      <w:r>
        <w:t xml:space="preserve"> </w:t>
      </w:r>
      <w:r w:rsidR="00453B6C">
        <w:t xml:space="preserve">This </w:t>
      </w:r>
      <w:r w:rsidR="00453B6C">
        <w:lastRenderedPageBreak/>
        <w:t>was due to the emulation testing Parties would have to carry out as pa</w:t>
      </w:r>
      <w:r w:rsidR="005362E5">
        <w:t>r</w:t>
      </w:r>
      <w:r w:rsidR="00453B6C">
        <w:t>t of any solution, as well as the requirement for CPA approval under option 2 of the assessment which puts both a cost and added time constraint on Parties.</w:t>
      </w:r>
    </w:p>
    <w:p w14:paraId="6A863F60" w14:textId="77777777" w:rsidR="005362E5" w:rsidRDefault="000C46E7" w:rsidP="00C408FF">
      <w:r>
        <w:t xml:space="preserve">The Working Group also advised that a breakdown of the costs </w:t>
      </w:r>
      <w:r w:rsidR="00A55CA2">
        <w:t>are</w:t>
      </w:r>
      <w:r>
        <w:t xml:space="preserve"> required </w:t>
      </w:r>
      <w:r w:rsidR="00A55CA2">
        <w:t xml:space="preserve">in order to justify them. The DCC noted that they are currently working with the Panel to improve costs analysis of modifications, making it easier for the Parties to determine the business case for them. </w:t>
      </w:r>
    </w:p>
    <w:p w14:paraId="15756C22" w14:textId="6DAB95C6" w:rsidR="000C46E7" w:rsidRDefault="00A55CA2" w:rsidP="00C408FF">
      <w:r>
        <w:t xml:space="preserve">The DCC also noted that costs of the modification were given as if the modification would be implemented as a standalone </w:t>
      </w:r>
      <w:r w:rsidR="006A1B54">
        <w:t>SEC R</w:t>
      </w:r>
      <w:r>
        <w:t>elease</w:t>
      </w:r>
      <w:r w:rsidR="004574F9">
        <w:t>,</w:t>
      </w:r>
      <w:r>
        <w:t xml:space="preserve"> </w:t>
      </w:r>
      <w:r w:rsidR="004574F9">
        <w:t xml:space="preserve">as </w:t>
      </w:r>
      <w:r>
        <w:t>Ofgem</w:t>
      </w:r>
      <w:r w:rsidR="004574F9">
        <w:t xml:space="preserve"> have</w:t>
      </w:r>
      <w:r>
        <w:t xml:space="preserve"> request</w:t>
      </w:r>
      <w:r w:rsidR="004574F9">
        <w:t>ed</w:t>
      </w:r>
      <w:r>
        <w:t>, as although this isn’t what Parties would necessarily want, it is still a possibility it could happen. A Panel member agreed that this is true but that it does not by any means, nor is it intended to, stop the DCC from estimating the costs as if the modification would be delivered as part of a wider scheduled SEC Release.</w:t>
      </w:r>
    </w:p>
    <w:p w14:paraId="05449939" w14:textId="6A9DAF3C" w:rsidR="00AC4AE6" w:rsidRDefault="00AC4AE6" w:rsidP="00AC4AE6">
      <w:pPr>
        <w:pStyle w:val="Subtitle"/>
      </w:pPr>
      <w:r>
        <w:t>What will be the solution going forward?</w:t>
      </w:r>
    </w:p>
    <w:p w14:paraId="48D4DBA8" w14:textId="31FF61AD" w:rsidR="00D24F05" w:rsidRDefault="00AC4AE6" w:rsidP="00C408FF">
      <w:r>
        <w:t>Partly due to the high costs as well as the complexity</w:t>
      </w:r>
      <w:r w:rsidR="00453B6C">
        <w:t xml:space="preserve"> of the proposed solution</w:t>
      </w:r>
      <w:r>
        <w:t>, the Working Group agreed that in order to progress the modification, they would seek a combination of the two solution</w:t>
      </w:r>
      <w:r w:rsidR="00453B6C">
        <w:t>s given in the DCC Preliminary Assessment</w:t>
      </w:r>
      <w:r w:rsidR="00BC4FEE">
        <w:t xml:space="preserve">. The DCC suggested the requirements in option 1 could be constrained to </w:t>
      </w:r>
      <w:r w:rsidR="006A1B54" w:rsidRPr="006A1B54">
        <w:t>Prepayment Meter Interface Device</w:t>
      </w:r>
      <w:r w:rsidR="006A1B54">
        <w:t>s (</w:t>
      </w:r>
      <w:r w:rsidR="00BC4FEE">
        <w:t>PPMIDs</w:t>
      </w:r>
      <w:r w:rsidR="006A1B54">
        <w:t>)</w:t>
      </w:r>
      <w:r w:rsidR="00BC4FEE">
        <w:t xml:space="preserve"> in order to explore cost savings</w:t>
      </w:r>
      <w:r w:rsidR="004574F9">
        <w:t xml:space="preserve">, and that </w:t>
      </w:r>
      <w:proofErr w:type="gramStart"/>
      <w:r w:rsidR="006A1B54">
        <w:t>In Home</w:t>
      </w:r>
      <w:proofErr w:type="gramEnd"/>
      <w:r w:rsidR="006A1B54">
        <w:t xml:space="preserve"> Displays (</w:t>
      </w:r>
      <w:r>
        <w:t>IHDs</w:t>
      </w:r>
      <w:r w:rsidR="006A1B54">
        <w:t>)</w:t>
      </w:r>
      <w:r>
        <w:t xml:space="preserve"> </w:t>
      </w:r>
      <w:r w:rsidR="004574F9">
        <w:t xml:space="preserve">could be </w:t>
      </w:r>
      <w:r>
        <w:t>left out of the solution</w:t>
      </w:r>
      <w:r w:rsidR="004574F9">
        <w:t>. T</w:t>
      </w:r>
      <w:r>
        <w:t xml:space="preserve">he Working Group </w:t>
      </w:r>
      <w:r w:rsidR="004574F9">
        <w:t xml:space="preserve">believed </w:t>
      </w:r>
      <w:r>
        <w:t xml:space="preserve">that the vast majority of IHDs in the </w:t>
      </w:r>
      <w:r w:rsidR="00453B6C">
        <w:t>field</w:t>
      </w:r>
      <w:r>
        <w:t xml:space="preserve"> today were </w:t>
      </w:r>
      <w:proofErr w:type="gramStart"/>
      <w:r>
        <w:t>actually PPMIDs</w:t>
      </w:r>
      <w:proofErr w:type="gramEnd"/>
      <w:r>
        <w:t xml:space="preserve"> with IHD capability</w:t>
      </w:r>
      <w:r w:rsidR="004574F9">
        <w:t>, and so this should be acceptable</w:t>
      </w:r>
      <w:r>
        <w:t xml:space="preserve">. </w:t>
      </w:r>
    </w:p>
    <w:p w14:paraId="1E657ED8" w14:textId="78EBC03A" w:rsidR="00D24F05" w:rsidRDefault="00453B6C" w:rsidP="00C408FF">
      <w:r>
        <w:t>However,</w:t>
      </w:r>
      <w:r w:rsidR="00AC4AE6">
        <w:t xml:space="preserve"> it was noted that </w:t>
      </w:r>
      <w:r>
        <w:t xml:space="preserve">in order to quantify the number of standalone IHDs in the field, Parties would be asked as part of </w:t>
      </w:r>
      <w:r w:rsidR="004574F9">
        <w:t>the industry</w:t>
      </w:r>
      <w:r>
        <w:t xml:space="preserve"> consultation </w:t>
      </w:r>
      <w:r w:rsidR="00AC4AE6">
        <w:t xml:space="preserve">to assess the impact </w:t>
      </w:r>
      <w:r w:rsidR="004574F9">
        <w:t xml:space="preserve">that </w:t>
      </w:r>
      <w:r w:rsidR="00AC4AE6">
        <w:t xml:space="preserve">excluding </w:t>
      </w:r>
      <w:r>
        <w:t>IHDs</w:t>
      </w:r>
      <w:r w:rsidR="00AC4AE6">
        <w:t xml:space="preserve"> from the proposed solution would have on </w:t>
      </w:r>
      <w:r w:rsidR="004574F9">
        <w:t>them</w:t>
      </w:r>
      <w:r>
        <w:t xml:space="preserve">. </w:t>
      </w:r>
    </w:p>
    <w:p w14:paraId="58862992" w14:textId="2B9AEFC3" w:rsidR="00D60D99" w:rsidRDefault="00D60D99" w:rsidP="00C408FF">
      <w:r>
        <w:t xml:space="preserve">The </w:t>
      </w:r>
      <w:r w:rsidR="00F11F81">
        <w:t>W</w:t>
      </w:r>
      <w:r>
        <w:t xml:space="preserve">orking </w:t>
      </w:r>
      <w:r w:rsidR="00F11F81">
        <w:t>G</w:t>
      </w:r>
      <w:r>
        <w:t>roup pointed out</w:t>
      </w:r>
      <w:r w:rsidRPr="00D60D99">
        <w:t xml:space="preserve"> that the removal of the IHD from the proposal </w:t>
      </w:r>
      <w:r>
        <w:t>could</w:t>
      </w:r>
      <w:r w:rsidRPr="00D60D99">
        <w:t xml:space="preserve"> further reduce the role of the IHD in the market</w:t>
      </w:r>
      <w:r>
        <w:t>.</w:t>
      </w:r>
    </w:p>
    <w:p w14:paraId="6268FC21" w14:textId="2CE1B9AC" w:rsidR="002120E4" w:rsidRDefault="00453B6C" w:rsidP="00C408FF">
      <w:r>
        <w:t xml:space="preserve">The Proposer also noted that they did not want to leave out </w:t>
      </w:r>
      <w:r w:rsidR="006A1B54" w:rsidRPr="006A1B54">
        <w:t>HAN Connected Auxiliary Load Control Switc</w:t>
      </w:r>
      <w:r w:rsidR="006A1B54">
        <w:t>hes (</w:t>
      </w:r>
      <w:r>
        <w:t>HCALCS</w:t>
      </w:r>
      <w:r w:rsidR="006A1B54">
        <w:t>s)</w:t>
      </w:r>
      <w:r>
        <w:t xml:space="preserve"> from the solution as they anticipated that </w:t>
      </w:r>
      <w:proofErr w:type="gramStart"/>
      <w:r>
        <w:t>a number of</w:t>
      </w:r>
      <w:proofErr w:type="gramEnd"/>
      <w:r>
        <w:t xml:space="preserve"> Parties would require the OTA capability for these devices, hence why this requirement will remain.</w:t>
      </w:r>
    </w:p>
    <w:p w14:paraId="6E0DCAC1" w14:textId="77777777" w:rsidR="004574F9" w:rsidRDefault="004574F9" w:rsidP="004574F9">
      <w:r>
        <w:t>As a result, the Working Group agreed to progress with a combination of the two solutions:</w:t>
      </w:r>
    </w:p>
    <w:p w14:paraId="2228379D" w14:textId="77777777" w:rsidR="004574F9" w:rsidRDefault="004574F9" w:rsidP="004574F9">
      <w:pPr>
        <w:pStyle w:val="ListParagraph"/>
        <w:numPr>
          <w:ilvl w:val="0"/>
          <w:numId w:val="30"/>
        </w:numPr>
      </w:pPr>
      <w:r>
        <w:t>Updating firmware over-the-air (OTA) for PPMIDs via Zigbee (option 1)</w:t>
      </w:r>
    </w:p>
    <w:p w14:paraId="7BEA5248" w14:textId="77777777" w:rsidR="004574F9" w:rsidRDefault="004574F9" w:rsidP="004574F9">
      <w:pPr>
        <w:pStyle w:val="ListParagraph"/>
        <w:numPr>
          <w:ilvl w:val="0"/>
          <w:numId w:val="30"/>
        </w:numPr>
      </w:pPr>
      <w:r>
        <w:t>Updating firmware OTA for HCALCS via GBCS (option 2)</w:t>
      </w:r>
    </w:p>
    <w:p w14:paraId="245D021D" w14:textId="1B9F6E42" w:rsidR="00F11F81" w:rsidRDefault="004574F9" w:rsidP="00C408FF">
      <w:r>
        <w:t>A</w:t>
      </w:r>
      <w:r w:rsidR="00CB0255">
        <w:t>ddress</w:t>
      </w:r>
      <w:r w:rsidR="00F11F81">
        <w:t>ing</w:t>
      </w:r>
      <w:r w:rsidR="00CB0255">
        <w:t xml:space="preserve"> pending firmware updates </w:t>
      </w:r>
      <w:r>
        <w:t xml:space="preserve">was discussed </w:t>
      </w:r>
      <w:r w:rsidR="00CB0255">
        <w:t xml:space="preserve">as part of the solution. It was suggested </w:t>
      </w:r>
      <w:r w:rsidR="00F11F81">
        <w:t xml:space="preserve">that </w:t>
      </w:r>
      <w:r w:rsidR="00CB0255">
        <w:t xml:space="preserve">to </w:t>
      </w:r>
      <w:r w:rsidR="00BE68A3">
        <w:t xml:space="preserve">consider this, as well as the proposed solution as it stands, the wider industry needed to be engaged, especially device manufacturers </w:t>
      </w:r>
      <w:r w:rsidR="00F11F81">
        <w:t xml:space="preserve">and that the </w:t>
      </w:r>
      <w:r w:rsidR="00F11F81">
        <w:rPr>
          <w:rFonts w:cs="Arial"/>
          <w:color w:val="3E4753"/>
          <w:szCs w:val="20"/>
          <w:shd w:val="clear" w:color="auto" w:fill="FFFFFF"/>
        </w:rPr>
        <w:t xml:space="preserve">Technical Specification Issue Resolution Sub-group (TSIRS) would be the most suitable place </w:t>
      </w:r>
      <w:r w:rsidR="00F61A6A">
        <w:rPr>
          <w:rFonts w:cs="Arial"/>
          <w:color w:val="3E4753"/>
          <w:szCs w:val="20"/>
          <w:shd w:val="clear" w:color="auto" w:fill="FFFFFF"/>
        </w:rPr>
        <w:t>to gather feedback.</w:t>
      </w:r>
    </w:p>
    <w:p w14:paraId="616438FC" w14:textId="68D333B1" w:rsidR="002120E4" w:rsidRDefault="002120E4" w:rsidP="002120E4">
      <w:pPr>
        <w:pStyle w:val="Subtitle"/>
      </w:pPr>
      <w:r>
        <w:t xml:space="preserve">Actions and </w:t>
      </w:r>
      <w:r w:rsidR="00442BAA">
        <w:t>n</w:t>
      </w:r>
      <w:r>
        <w:t xml:space="preserve">ext </w:t>
      </w:r>
      <w:r w:rsidR="00442BAA">
        <w:t>s</w:t>
      </w:r>
      <w:r>
        <w:t>teps</w:t>
      </w:r>
    </w:p>
    <w:p w14:paraId="7869A1D8" w14:textId="0FBE8259" w:rsidR="002120E4" w:rsidRDefault="002120E4" w:rsidP="00C408FF">
      <w:r>
        <w:t>The Working Group and the Proposer agreed for the following actions to be taken:</w:t>
      </w:r>
    </w:p>
    <w:p w14:paraId="1A9B3C64" w14:textId="28AEE276" w:rsidR="002120E4" w:rsidRDefault="002120E4" w:rsidP="002120E4">
      <w:pPr>
        <w:pStyle w:val="ListParagraph"/>
      </w:pPr>
      <w:r>
        <w:t>SECAS to amend the business requirements combining elements of both solution options</w:t>
      </w:r>
      <w:r w:rsidR="004574F9">
        <w:t xml:space="preserve"> to form the single proposed solution to be taken forward</w:t>
      </w:r>
      <w:r>
        <w:t>;</w:t>
      </w:r>
    </w:p>
    <w:p w14:paraId="5AD821E3" w14:textId="6B0E058F" w:rsidR="000C46E7" w:rsidRDefault="002120E4" w:rsidP="000C46E7">
      <w:pPr>
        <w:pStyle w:val="ListParagraph"/>
      </w:pPr>
      <w:r>
        <w:lastRenderedPageBreak/>
        <w:t xml:space="preserve">SECAS </w:t>
      </w:r>
      <w:r w:rsidR="000C46E7">
        <w:t>to issue a consultation seeking to assess the impacts the proposed solution would have on Parties as well as quantifying the number of standalone IHDs in the field; and</w:t>
      </w:r>
    </w:p>
    <w:p w14:paraId="6989D245" w14:textId="70A2AB9F" w:rsidR="000C46E7" w:rsidRPr="003423F3" w:rsidRDefault="000C46E7" w:rsidP="000C46E7">
      <w:pPr>
        <w:pStyle w:val="ListParagraph"/>
      </w:pPr>
      <w:r>
        <w:t>SECAS to ask the Change Board’s permission to request a DCC Impact Assessment on the proposed solution before the consultation has finished in order to maintain the momentum of the modification’s progression.</w:t>
      </w:r>
    </w:p>
    <w:sectPr w:rsidR="000C46E7" w:rsidRPr="003423F3" w:rsidSect="00633F6B">
      <w:headerReference w:type="default" r:id="rId9"/>
      <w:footerReference w:type="defaul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A2990" w14:textId="77777777" w:rsidR="00E0123F" w:rsidRDefault="00E0123F" w:rsidP="004F458B">
      <w:pPr>
        <w:spacing w:after="0" w:line="240" w:lineRule="auto"/>
      </w:pPr>
      <w:r>
        <w:separator/>
      </w:r>
    </w:p>
  </w:endnote>
  <w:endnote w:type="continuationSeparator" w:id="0">
    <w:p w14:paraId="0430ECD6" w14:textId="77777777" w:rsidR="00E0123F" w:rsidRDefault="00E0123F"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5"/>
      <w:gridCol w:w="3034"/>
      <w:gridCol w:w="2997"/>
    </w:tblGrid>
    <w:tr w:rsidR="00800AF2" w:rsidRPr="00633F6B" w14:paraId="278E426B" w14:textId="77777777" w:rsidTr="00800AF2">
      <w:trPr>
        <w:trHeight w:val="300"/>
      </w:trPr>
      <w:tc>
        <w:tcPr>
          <w:tcW w:w="2995" w:type="dxa"/>
        </w:tcPr>
        <w:p w14:paraId="08BF95AB" w14:textId="77777777" w:rsidR="00800AF2" w:rsidRPr="00633F6B" w:rsidRDefault="00800AF2" w:rsidP="000D492D">
          <w:pPr>
            <w:pStyle w:val="Footer"/>
            <w:rPr>
              <w:rFonts w:cs="Arial"/>
              <w:color w:val="595959" w:themeColor="text1" w:themeTint="A6"/>
              <w:sz w:val="16"/>
              <w:szCs w:val="16"/>
            </w:rPr>
          </w:pPr>
        </w:p>
      </w:tc>
      <w:tc>
        <w:tcPr>
          <w:tcW w:w="3034" w:type="dxa"/>
          <w:vMerge w:val="restart"/>
        </w:tcPr>
        <w:p w14:paraId="38DD653D" w14:textId="77777777" w:rsidR="00800AF2" w:rsidRPr="00633F6B" w:rsidRDefault="00800AF2" w:rsidP="00633F6B">
          <w:pPr>
            <w:pStyle w:val="Footer"/>
            <w:jc w:val="center"/>
            <w:rPr>
              <w:rFonts w:cs="Arial"/>
              <w:color w:val="595959" w:themeColor="text1" w:themeTint="A6"/>
              <w:sz w:val="16"/>
              <w:szCs w:val="16"/>
            </w:rPr>
          </w:pPr>
          <w:r>
            <w:rPr>
              <w:noProof/>
              <w:lang w:eastAsia="en-GB"/>
            </w:rPr>
            <w:drawing>
              <wp:inline distT="0" distB="0" distL="0" distR="0" wp14:anchorId="106C0DFB" wp14:editId="1C6115A6">
                <wp:extent cx="1170940" cy="681355"/>
                <wp:effectExtent l="0" t="0" r="0" b="4445"/>
                <wp:docPr id="7" name="Picture 0" descr="Administered by Gemserv Logo.png"/>
                <wp:cNvGraphicFramePr/>
                <a:graphic xmlns:a="http://schemas.openxmlformats.org/drawingml/2006/main">
                  <a:graphicData uri="http://schemas.openxmlformats.org/drawingml/2006/picture">
                    <pic:pic xmlns:pic="http://schemas.openxmlformats.org/drawingml/2006/picture">
                      <pic:nvPicPr>
                        <pic:cNvPr id="7" name="Picture 0" descr="Administered by Gemserv Logo.png"/>
                        <pic:cNvPicPr/>
                      </pic:nvPicPr>
                      <pic:blipFill>
                        <a:blip r:embed="rId1" r:link="rId2">
                          <a:extLst>
                            <a:ext uri="{28A0092B-C50C-407E-A947-70E740481C1C}">
                              <a14:useLocalDpi xmlns:a14="http://schemas.microsoft.com/office/drawing/2010/main" val="0"/>
                            </a:ext>
                          </a:extLst>
                        </a:blip>
                        <a:srcRect b="-2703"/>
                        <a:stretch>
                          <a:fillRect/>
                        </a:stretch>
                      </pic:blipFill>
                      <pic:spPr bwMode="auto">
                        <a:xfrm>
                          <a:off x="0" y="0"/>
                          <a:ext cx="1170940" cy="681355"/>
                        </a:xfrm>
                        <a:prstGeom prst="rect">
                          <a:avLst/>
                        </a:prstGeom>
                        <a:noFill/>
                        <a:ln>
                          <a:noFill/>
                        </a:ln>
                      </pic:spPr>
                    </pic:pic>
                  </a:graphicData>
                </a:graphic>
              </wp:inline>
            </w:drawing>
          </w:r>
        </w:p>
      </w:tc>
      <w:tc>
        <w:tcPr>
          <w:tcW w:w="2997" w:type="dxa"/>
        </w:tcPr>
        <w:p w14:paraId="20819DC5" w14:textId="77777777" w:rsidR="00800AF2" w:rsidRPr="00633F6B" w:rsidRDefault="00800AF2" w:rsidP="00633F6B">
          <w:pPr>
            <w:pStyle w:val="Footer"/>
            <w:jc w:val="right"/>
            <w:rPr>
              <w:rFonts w:cs="Arial"/>
              <w:color w:val="595959" w:themeColor="text1" w:themeTint="A6"/>
              <w:sz w:val="16"/>
              <w:szCs w:val="16"/>
            </w:rPr>
          </w:pPr>
        </w:p>
      </w:tc>
    </w:tr>
    <w:tr w:rsidR="00800AF2" w:rsidRPr="00633F6B" w14:paraId="197F2C18" w14:textId="77777777" w:rsidTr="00800AF2">
      <w:trPr>
        <w:trHeight w:val="540"/>
      </w:trPr>
      <w:tc>
        <w:tcPr>
          <w:tcW w:w="2995" w:type="dxa"/>
        </w:tcPr>
        <w:p w14:paraId="1796D106" w14:textId="39B510FE" w:rsidR="00800AF2" w:rsidRDefault="00800AF2" w:rsidP="000D492D">
          <w:pPr>
            <w:pStyle w:val="Footer"/>
            <w:rPr>
              <w:rFonts w:cs="Arial"/>
              <w:color w:val="595959" w:themeColor="text1" w:themeTint="A6"/>
              <w:sz w:val="16"/>
              <w:szCs w:val="16"/>
            </w:rPr>
          </w:pPr>
          <w:r>
            <w:rPr>
              <w:rFonts w:cs="Arial"/>
              <w:color w:val="595959" w:themeColor="text1" w:themeTint="A6"/>
              <w:sz w:val="16"/>
              <w:szCs w:val="16"/>
            </w:rPr>
            <w:t>SECMP</w:t>
          </w:r>
          <w:r w:rsidR="007646AA">
            <w:rPr>
              <w:rFonts w:cs="Arial"/>
              <w:color w:val="595959" w:themeColor="text1" w:themeTint="A6"/>
              <w:sz w:val="16"/>
              <w:szCs w:val="16"/>
            </w:rPr>
            <w:t>0007</w:t>
          </w:r>
          <w:r>
            <w:rPr>
              <w:rFonts w:cs="Arial"/>
              <w:color w:val="595959" w:themeColor="text1" w:themeTint="A6"/>
              <w:sz w:val="16"/>
              <w:szCs w:val="16"/>
            </w:rPr>
            <w:t xml:space="preserve"> Working Group Meeting Summary</w:t>
          </w:r>
          <w:r w:rsidR="00C550AA">
            <w:rPr>
              <w:rFonts w:cs="Arial"/>
              <w:color w:val="595959" w:themeColor="text1" w:themeTint="A6"/>
              <w:sz w:val="16"/>
              <w:szCs w:val="16"/>
            </w:rPr>
            <w:t xml:space="preserve"> – 1 May 2019</w:t>
          </w:r>
        </w:p>
      </w:tc>
      <w:tc>
        <w:tcPr>
          <w:tcW w:w="3034" w:type="dxa"/>
          <w:vMerge/>
        </w:tcPr>
        <w:p w14:paraId="0FDD97F8" w14:textId="77777777" w:rsidR="00800AF2" w:rsidRDefault="00800AF2" w:rsidP="00633F6B">
          <w:pPr>
            <w:pStyle w:val="Footer"/>
            <w:jc w:val="center"/>
            <w:rPr>
              <w:noProof/>
              <w:lang w:eastAsia="en-GB"/>
            </w:rPr>
          </w:pPr>
        </w:p>
      </w:tc>
      <w:tc>
        <w:tcPr>
          <w:tcW w:w="2997" w:type="dxa"/>
        </w:tcPr>
        <w:p w14:paraId="431BAED4" w14:textId="77777777" w:rsidR="00800AF2" w:rsidRDefault="00800AF2" w:rsidP="00800AF2">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color w:val="595959" w:themeColor="text1" w:themeTint="A6"/>
              <w:sz w:val="16"/>
              <w:szCs w:val="16"/>
            </w:rPr>
            <w:t>1</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color w:val="595959" w:themeColor="text1" w:themeTint="A6"/>
              <w:sz w:val="16"/>
              <w:szCs w:val="16"/>
            </w:rPr>
            <w:t>1</w:t>
          </w:r>
          <w:r w:rsidRPr="00633F6B">
            <w:rPr>
              <w:rFonts w:cs="Arial"/>
              <w:color w:val="595959" w:themeColor="text1" w:themeTint="A6"/>
              <w:sz w:val="16"/>
              <w:szCs w:val="16"/>
            </w:rPr>
            <w:fldChar w:fldCharType="end"/>
          </w:r>
        </w:p>
        <w:p w14:paraId="180EDB87" w14:textId="77777777" w:rsidR="00800AF2" w:rsidRDefault="00800AF2" w:rsidP="00800AF2">
          <w:pPr>
            <w:pStyle w:val="Footer"/>
            <w:jc w:val="right"/>
            <w:rPr>
              <w:rFonts w:cs="Arial"/>
              <w:color w:val="595959" w:themeColor="text1" w:themeTint="A6"/>
              <w:sz w:val="16"/>
              <w:szCs w:val="16"/>
            </w:rPr>
          </w:pPr>
        </w:p>
        <w:p w14:paraId="0D087BB9" w14:textId="77777777" w:rsidR="00800AF2" w:rsidRPr="00633F6B" w:rsidRDefault="00800AF2" w:rsidP="00800AF2">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3423F3">
            <w:rPr>
              <w:rFonts w:cs="Arial"/>
              <w:b/>
              <w:color w:val="auto"/>
              <w:sz w:val="16"/>
              <w:szCs w:val="16"/>
            </w:rPr>
            <w:t>White</w:t>
          </w:r>
        </w:p>
      </w:tc>
    </w:tr>
  </w:tbl>
  <w:p w14:paraId="3ECB5DED" w14:textId="77777777" w:rsidR="00DB0807" w:rsidRPr="00633F6B" w:rsidRDefault="00DB0807"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3378E" w14:textId="77777777" w:rsidR="00E0123F" w:rsidRDefault="00E0123F" w:rsidP="004F458B">
      <w:pPr>
        <w:spacing w:after="0" w:line="240" w:lineRule="auto"/>
      </w:pPr>
      <w:r>
        <w:separator/>
      </w:r>
    </w:p>
  </w:footnote>
  <w:footnote w:type="continuationSeparator" w:id="0">
    <w:p w14:paraId="24AE1718" w14:textId="77777777" w:rsidR="00E0123F" w:rsidRDefault="00E0123F"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3BE61" w14:textId="77777777" w:rsidR="003E558E" w:rsidRDefault="003E558E" w:rsidP="003E558E">
    <w:pPr>
      <w:pStyle w:val="Header"/>
      <w:jc w:val="right"/>
    </w:pPr>
    <w:r w:rsidRPr="003E558E">
      <w:rPr>
        <w:noProof/>
        <w:lang w:eastAsia="en-GB"/>
      </w:rPr>
      <w:drawing>
        <wp:inline distT="0" distB="0" distL="0" distR="0" wp14:anchorId="76358F60" wp14:editId="7FCA56A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2F29"/>
    <w:multiLevelType w:val="multilevel"/>
    <w:tmpl w:val="CCAEB4D6"/>
    <w:numStyleLink w:val="SECPanelPaperHeadings"/>
  </w:abstractNum>
  <w:abstractNum w:abstractNumId="1" w15:restartNumberingAfterBreak="0">
    <w:nsid w:val="092921F3"/>
    <w:multiLevelType w:val="hybridMultilevel"/>
    <w:tmpl w:val="85FC8572"/>
    <w:lvl w:ilvl="0" w:tplc="93FCAEDC">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D61751B"/>
    <w:multiLevelType w:val="hybridMultilevel"/>
    <w:tmpl w:val="D676EAF2"/>
    <w:lvl w:ilvl="0" w:tplc="101C79B2">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657A1D"/>
    <w:multiLevelType w:val="hybridMultilevel"/>
    <w:tmpl w:val="DCBC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20731"/>
    <w:multiLevelType w:val="hybridMultilevel"/>
    <w:tmpl w:val="E6EEF080"/>
    <w:lvl w:ilvl="0" w:tplc="16BA518A">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77208"/>
    <w:multiLevelType w:val="hybridMultilevel"/>
    <w:tmpl w:val="B4465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E1821"/>
    <w:multiLevelType w:val="multilevel"/>
    <w:tmpl w:val="CCAEB4D6"/>
    <w:numStyleLink w:val="SECPanelPaperHeadings"/>
  </w:abstractNum>
  <w:abstractNum w:abstractNumId="8" w15:restartNumberingAfterBreak="0">
    <w:nsid w:val="213516B7"/>
    <w:multiLevelType w:val="multilevel"/>
    <w:tmpl w:val="CCAEB4D6"/>
    <w:numStyleLink w:val="SECPanelPaperHeadings"/>
  </w:abstractNum>
  <w:abstractNum w:abstractNumId="9" w15:restartNumberingAfterBreak="0">
    <w:nsid w:val="226F31A3"/>
    <w:multiLevelType w:val="multilevel"/>
    <w:tmpl w:val="CCAEB4D6"/>
    <w:numStyleLink w:val="SECPanelPaperHeadings"/>
  </w:abstractNum>
  <w:abstractNum w:abstractNumId="10" w15:restartNumberingAfterBreak="0">
    <w:nsid w:val="250C00BB"/>
    <w:multiLevelType w:val="hybridMultilevel"/>
    <w:tmpl w:val="C67AABC6"/>
    <w:lvl w:ilvl="0" w:tplc="5E46333C">
      <w:start w:val="1"/>
      <w:numFmt w:val="decimal"/>
      <w:lvlText w:val="%1."/>
      <w:lvlJc w:val="left"/>
      <w:pPr>
        <w:ind w:left="360" w:hanging="360"/>
      </w:pPr>
      <w:rPr>
        <w:bCs w:val="0"/>
        <w:i w:val="0"/>
        <w:caps w:val="0"/>
        <w:smallCaps w:val="0"/>
        <w:strike w:val="0"/>
        <w:dstrike w:val="0"/>
        <w:noProof w:val="0"/>
        <w:vanish w:val="0"/>
        <w:color w:val="00000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6480" w:hanging="360"/>
      </w:pPr>
    </w:lvl>
    <w:lvl w:ilvl="2" w:tplc="0809001B" w:tentative="1">
      <w:start w:val="1"/>
      <w:numFmt w:val="lowerRoman"/>
      <w:lvlText w:val="%3."/>
      <w:lvlJc w:val="right"/>
      <w:pPr>
        <w:ind w:left="7200" w:hanging="180"/>
      </w:pPr>
    </w:lvl>
    <w:lvl w:ilvl="3" w:tplc="0809000F" w:tentative="1">
      <w:start w:val="1"/>
      <w:numFmt w:val="decimal"/>
      <w:lvlText w:val="%4."/>
      <w:lvlJc w:val="left"/>
      <w:pPr>
        <w:ind w:left="7920" w:hanging="360"/>
      </w:pPr>
    </w:lvl>
    <w:lvl w:ilvl="4" w:tplc="08090019" w:tentative="1">
      <w:start w:val="1"/>
      <w:numFmt w:val="lowerLetter"/>
      <w:lvlText w:val="%5."/>
      <w:lvlJc w:val="left"/>
      <w:pPr>
        <w:ind w:left="8640" w:hanging="360"/>
      </w:pPr>
    </w:lvl>
    <w:lvl w:ilvl="5" w:tplc="0809001B" w:tentative="1">
      <w:start w:val="1"/>
      <w:numFmt w:val="lowerRoman"/>
      <w:lvlText w:val="%6."/>
      <w:lvlJc w:val="right"/>
      <w:pPr>
        <w:ind w:left="9360" w:hanging="180"/>
      </w:pPr>
    </w:lvl>
    <w:lvl w:ilvl="6" w:tplc="0809000F" w:tentative="1">
      <w:start w:val="1"/>
      <w:numFmt w:val="decimal"/>
      <w:lvlText w:val="%7."/>
      <w:lvlJc w:val="left"/>
      <w:pPr>
        <w:ind w:left="10080" w:hanging="360"/>
      </w:pPr>
    </w:lvl>
    <w:lvl w:ilvl="7" w:tplc="08090019" w:tentative="1">
      <w:start w:val="1"/>
      <w:numFmt w:val="lowerLetter"/>
      <w:lvlText w:val="%8."/>
      <w:lvlJc w:val="left"/>
      <w:pPr>
        <w:ind w:left="10800" w:hanging="360"/>
      </w:pPr>
    </w:lvl>
    <w:lvl w:ilvl="8" w:tplc="0809001B" w:tentative="1">
      <w:start w:val="1"/>
      <w:numFmt w:val="lowerRoman"/>
      <w:lvlText w:val="%9."/>
      <w:lvlJc w:val="right"/>
      <w:pPr>
        <w:ind w:left="11520" w:hanging="180"/>
      </w:pPr>
    </w:lvl>
  </w:abstractNum>
  <w:abstractNum w:abstractNumId="11" w15:restartNumberingAfterBreak="0">
    <w:nsid w:val="2FD10F06"/>
    <w:multiLevelType w:val="multilevel"/>
    <w:tmpl w:val="CCAEB4D6"/>
    <w:numStyleLink w:val="SECPanelPaperHeadings"/>
  </w:abstractNum>
  <w:abstractNum w:abstractNumId="12" w15:restartNumberingAfterBreak="0">
    <w:nsid w:val="33D64DFF"/>
    <w:multiLevelType w:val="hybridMultilevel"/>
    <w:tmpl w:val="EF68074A"/>
    <w:lvl w:ilvl="0" w:tplc="42529A78">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A25672"/>
    <w:multiLevelType w:val="singleLevel"/>
    <w:tmpl w:val="0ED43EA4"/>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abstractNum>
  <w:abstractNum w:abstractNumId="14" w15:restartNumberingAfterBreak="0">
    <w:nsid w:val="473B58E7"/>
    <w:multiLevelType w:val="hybridMultilevel"/>
    <w:tmpl w:val="AC48C3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6" w15:restartNumberingAfterBreak="0">
    <w:nsid w:val="57BD47AC"/>
    <w:multiLevelType w:val="hybridMultilevel"/>
    <w:tmpl w:val="B3FAEB9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7" w15:restartNumberingAfterBreak="0">
    <w:nsid w:val="5D816AAE"/>
    <w:multiLevelType w:val="multilevel"/>
    <w:tmpl w:val="A59E4DF2"/>
    <w:lvl w:ilvl="0">
      <w:start w:val="1"/>
      <w:numFmt w:val="decimal"/>
      <w:lvlText w:val="%1."/>
      <w:lvlJc w:val="left"/>
      <w:pPr>
        <w:ind w:left="720" w:hanging="360"/>
      </w:pPr>
      <w:rPr>
        <w:rFonts w:hint="default"/>
        <w:bCs w:val="0"/>
        <w:i w:val="0"/>
        <w:iCs w:val="0"/>
        <w:caps w:val="0"/>
        <w:smallCaps w:val="0"/>
        <w:strike w:val="0"/>
        <w:dstrike w:val="0"/>
        <w:noProof w:val="0"/>
        <w:vanish w:val="0"/>
        <w:kern w:val="0"/>
        <w:position w:val="0"/>
        <w:u w:val="none"/>
        <w:vertAlign w:val="baseline"/>
        <w:em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30791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DD2338"/>
    <w:multiLevelType w:val="multilevel"/>
    <w:tmpl w:val="CCAEB4D6"/>
    <w:numStyleLink w:val="SECPanelPaperHeadings"/>
  </w:abstractNum>
  <w:abstractNum w:abstractNumId="20" w15:restartNumberingAfterBreak="0">
    <w:nsid w:val="70111706"/>
    <w:multiLevelType w:val="multilevel"/>
    <w:tmpl w:val="CCAEB4D6"/>
    <w:numStyleLink w:val="SECPanelPaperHeadings"/>
  </w:abstractNum>
  <w:abstractNum w:abstractNumId="21" w15:restartNumberingAfterBreak="0">
    <w:nsid w:val="74430771"/>
    <w:multiLevelType w:val="hybridMultilevel"/>
    <w:tmpl w:val="366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A413F1"/>
    <w:multiLevelType w:val="multilevel"/>
    <w:tmpl w:val="C8EED5CE"/>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none"/>
      <w:isLgl/>
      <w:lvlText w:val="1.1"/>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3" w15:restartNumberingAfterBreak="0">
    <w:nsid w:val="7C603B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EA25C35"/>
    <w:multiLevelType w:val="multilevel"/>
    <w:tmpl w:val="A0742560"/>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680" w:hanging="680"/>
      </w:pPr>
      <w:rPr>
        <w:rFonts w:hint="default"/>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2"/>
  </w:num>
  <w:num w:numId="2">
    <w:abstractNumId w:val="3"/>
  </w:num>
  <w:num w:numId="3">
    <w:abstractNumId w:val="10"/>
  </w:num>
  <w:num w:numId="4">
    <w:abstractNumId w:val="5"/>
  </w:num>
  <w:num w:numId="5">
    <w:abstractNumId w:val="4"/>
  </w:num>
  <w:num w:numId="6">
    <w:abstractNumId w:val="17"/>
  </w:num>
  <w:num w:numId="7">
    <w:abstractNumId w:val="23"/>
  </w:num>
  <w:num w:numId="8">
    <w:abstractNumId w:val="15"/>
  </w:num>
  <w:num w:numId="9">
    <w:abstractNumId w:val="9"/>
  </w:num>
  <w:num w:numId="10">
    <w:abstractNumId w:val="7"/>
  </w:num>
  <w:num w:numId="11">
    <w:abstractNumId w:val="11"/>
  </w:num>
  <w:num w:numId="12">
    <w:abstractNumId w:val="19"/>
  </w:num>
  <w:num w:numId="13">
    <w:abstractNumId w:val="22"/>
  </w:num>
  <w:num w:numId="14">
    <w:abstractNumId w:val="8"/>
  </w:num>
  <w:num w:numId="15">
    <w:abstractNumId w:val="20"/>
  </w:num>
  <w:num w:numId="16">
    <w:abstractNumId w:val="0"/>
  </w:num>
  <w:num w:numId="17">
    <w:abstractNumId w:val="13"/>
  </w:num>
  <w:num w:numId="18">
    <w:abstractNumId w:val="1"/>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4"/>
  </w:num>
  <w:num w:numId="23">
    <w:abstractNumId w:val="24"/>
    <w:lvlOverride w:ilvl="0">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Override>
    <w:lvlOverride w:ilvl="1">
      <w:lvl w:ilvl="1">
        <w:start w:val="1"/>
        <w:numFmt w:val="none"/>
        <w:lvlText w:val=""/>
        <w:lvlJc w:val="left"/>
        <w:pPr>
          <w:ind w:left="680" w:hanging="680"/>
        </w:pPr>
        <w:rPr>
          <w:rFonts w:hint="default"/>
        </w:rPr>
      </w:lvl>
    </w:lvlOverride>
    <w:lvlOverride w:ilvl="2">
      <w:lvl w:ilvl="2">
        <w:start w:val="1"/>
        <w:numFmt w:val="lowerRoman"/>
        <w:lvlText w:val="%3."/>
        <w:lvlJc w:val="right"/>
        <w:pPr>
          <w:ind w:left="680" w:hanging="680"/>
        </w:pPr>
        <w:rPr>
          <w:rFonts w:hint="default"/>
        </w:rPr>
      </w:lvl>
    </w:lvlOverride>
    <w:lvlOverride w:ilvl="3">
      <w:lvl w:ilvl="3">
        <w:start w:val="1"/>
        <w:numFmt w:val="decimal"/>
        <w:lvlText w:val="%4."/>
        <w:lvlJc w:val="left"/>
        <w:pPr>
          <w:ind w:left="680" w:hanging="680"/>
        </w:pPr>
        <w:rPr>
          <w:rFonts w:hint="default"/>
        </w:rPr>
      </w:lvl>
    </w:lvlOverride>
    <w:lvlOverride w:ilvl="4">
      <w:lvl w:ilvl="4">
        <w:start w:val="1"/>
        <w:numFmt w:val="lowerLetter"/>
        <w:lvlText w:val="%5."/>
        <w:lvlJc w:val="left"/>
        <w:pPr>
          <w:ind w:left="680" w:hanging="680"/>
        </w:pPr>
        <w:rPr>
          <w:rFonts w:hint="default"/>
        </w:rPr>
      </w:lvl>
    </w:lvlOverride>
    <w:lvlOverride w:ilvl="5">
      <w:lvl w:ilvl="5">
        <w:start w:val="1"/>
        <w:numFmt w:val="lowerRoman"/>
        <w:lvlText w:val="%6."/>
        <w:lvlJc w:val="right"/>
        <w:pPr>
          <w:ind w:left="680" w:hanging="680"/>
        </w:pPr>
        <w:rPr>
          <w:rFonts w:hint="default"/>
        </w:rPr>
      </w:lvl>
    </w:lvlOverride>
    <w:lvlOverride w:ilvl="6">
      <w:lvl w:ilvl="6">
        <w:start w:val="1"/>
        <w:numFmt w:val="decimal"/>
        <w:lvlText w:val="%7."/>
        <w:lvlJc w:val="left"/>
        <w:pPr>
          <w:ind w:left="680" w:hanging="680"/>
        </w:pPr>
        <w:rPr>
          <w:rFonts w:hint="default"/>
        </w:rPr>
      </w:lvl>
    </w:lvlOverride>
    <w:lvlOverride w:ilvl="7">
      <w:lvl w:ilvl="7">
        <w:start w:val="1"/>
        <w:numFmt w:val="lowerLetter"/>
        <w:lvlText w:val="%8."/>
        <w:lvlJc w:val="left"/>
        <w:pPr>
          <w:ind w:left="680" w:hanging="680"/>
        </w:pPr>
        <w:rPr>
          <w:rFonts w:hint="default"/>
        </w:rPr>
      </w:lvl>
    </w:lvlOverride>
    <w:lvlOverride w:ilvl="8">
      <w:lvl w:ilvl="8">
        <w:start w:val="1"/>
        <w:numFmt w:val="lowerRoman"/>
        <w:lvlText w:val="%9."/>
        <w:lvlJc w:val="right"/>
        <w:pPr>
          <w:ind w:left="680" w:hanging="680"/>
        </w:pPr>
        <w:rPr>
          <w:rFonts w:hint="default"/>
        </w:rPr>
      </w:lvl>
    </w:lvlOverride>
  </w:num>
  <w:num w:numId="24">
    <w:abstractNumId w:val="24"/>
    <w:lvlOverride w:ilvl="0">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Override>
    <w:lvlOverride w:ilvl="1">
      <w:lvl w:ilvl="1">
        <w:start w:val="1"/>
        <w:numFmt w:val="decimal"/>
        <w:lvlText w:val="%1.%2"/>
        <w:lvlJc w:val="left"/>
        <w:pPr>
          <w:ind w:left="680" w:hanging="680"/>
        </w:pPr>
        <w:rPr>
          <w:rFonts w:hint="default"/>
        </w:rPr>
      </w:lvl>
    </w:lvlOverride>
    <w:lvlOverride w:ilvl="2">
      <w:lvl w:ilvl="2">
        <w:start w:val="1"/>
        <w:numFmt w:val="lowerRoman"/>
        <w:lvlText w:val="%3."/>
        <w:lvlJc w:val="right"/>
        <w:pPr>
          <w:ind w:left="680" w:hanging="680"/>
        </w:pPr>
        <w:rPr>
          <w:rFonts w:hint="default"/>
        </w:rPr>
      </w:lvl>
    </w:lvlOverride>
    <w:lvlOverride w:ilvl="3">
      <w:lvl w:ilvl="3">
        <w:start w:val="1"/>
        <w:numFmt w:val="decimal"/>
        <w:lvlText w:val="%4."/>
        <w:lvlJc w:val="left"/>
        <w:pPr>
          <w:ind w:left="680" w:hanging="680"/>
        </w:pPr>
        <w:rPr>
          <w:rFonts w:hint="default"/>
        </w:rPr>
      </w:lvl>
    </w:lvlOverride>
    <w:lvlOverride w:ilvl="4">
      <w:lvl w:ilvl="4">
        <w:start w:val="1"/>
        <w:numFmt w:val="lowerLetter"/>
        <w:lvlText w:val="%5."/>
        <w:lvlJc w:val="left"/>
        <w:pPr>
          <w:ind w:left="680" w:hanging="680"/>
        </w:pPr>
        <w:rPr>
          <w:rFonts w:hint="default"/>
        </w:rPr>
      </w:lvl>
    </w:lvlOverride>
    <w:lvlOverride w:ilvl="5">
      <w:lvl w:ilvl="5">
        <w:start w:val="1"/>
        <w:numFmt w:val="lowerRoman"/>
        <w:lvlText w:val="%6."/>
        <w:lvlJc w:val="right"/>
        <w:pPr>
          <w:ind w:left="680" w:hanging="680"/>
        </w:pPr>
        <w:rPr>
          <w:rFonts w:hint="default"/>
        </w:rPr>
      </w:lvl>
    </w:lvlOverride>
    <w:lvlOverride w:ilvl="6">
      <w:lvl w:ilvl="6">
        <w:start w:val="1"/>
        <w:numFmt w:val="decimal"/>
        <w:lvlText w:val="%7."/>
        <w:lvlJc w:val="left"/>
        <w:pPr>
          <w:ind w:left="680" w:hanging="680"/>
        </w:pPr>
        <w:rPr>
          <w:rFonts w:hint="default"/>
        </w:rPr>
      </w:lvl>
    </w:lvlOverride>
    <w:lvlOverride w:ilvl="7">
      <w:lvl w:ilvl="7">
        <w:start w:val="1"/>
        <w:numFmt w:val="lowerLetter"/>
        <w:lvlText w:val="%8."/>
        <w:lvlJc w:val="left"/>
        <w:pPr>
          <w:ind w:left="680" w:hanging="680"/>
        </w:pPr>
        <w:rPr>
          <w:rFonts w:hint="default"/>
        </w:rPr>
      </w:lvl>
    </w:lvlOverride>
    <w:lvlOverride w:ilvl="8">
      <w:lvl w:ilvl="8">
        <w:start w:val="1"/>
        <w:numFmt w:val="lowerRoman"/>
        <w:lvlText w:val="%9."/>
        <w:lvlJc w:val="right"/>
        <w:pPr>
          <w:ind w:left="680" w:hanging="680"/>
        </w:pPr>
        <w:rPr>
          <w:rFonts w:hint="default"/>
        </w:rPr>
      </w:lvl>
    </w:lvlOverride>
  </w:num>
  <w:num w:numId="25">
    <w:abstractNumId w:val="24"/>
  </w:num>
  <w:num w:numId="26">
    <w:abstractNumId w:val="21"/>
  </w:num>
  <w:num w:numId="27">
    <w:abstractNumId w:val="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FF9"/>
    <w:rsid w:val="00020BA4"/>
    <w:rsid w:val="00067AFA"/>
    <w:rsid w:val="00075828"/>
    <w:rsid w:val="00091612"/>
    <w:rsid w:val="000B30A4"/>
    <w:rsid w:val="000B4FAB"/>
    <w:rsid w:val="000C46E7"/>
    <w:rsid w:val="000C5748"/>
    <w:rsid w:val="000D0828"/>
    <w:rsid w:val="000D492D"/>
    <w:rsid w:val="000E6A3C"/>
    <w:rsid w:val="000E6DD9"/>
    <w:rsid w:val="000F4376"/>
    <w:rsid w:val="00102237"/>
    <w:rsid w:val="0010448B"/>
    <w:rsid w:val="0012045A"/>
    <w:rsid w:val="00124F25"/>
    <w:rsid w:val="00152E20"/>
    <w:rsid w:val="0015743D"/>
    <w:rsid w:val="00160D5B"/>
    <w:rsid w:val="001855DA"/>
    <w:rsid w:val="00192FAC"/>
    <w:rsid w:val="00196A93"/>
    <w:rsid w:val="001B52F1"/>
    <w:rsid w:val="001C32E8"/>
    <w:rsid w:val="001E4249"/>
    <w:rsid w:val="0021197D"/>
    <w:rsid w:val="002120E4"/>
    <w:rsid w:val="002357F7"/>
    <w:rsid w:val="0024177C"/>
    <w:rsid w:val="00251BB8"/>
    <w:rsid w:val="00251E29"/>
    <w:rsid w:val="00267F7B"/>
    <w:rsid w:val="00283D8C"/>
    <w:rsid w:val="002A0870"/>
    <w:rsid w:val="002A46ED"/>
    <w:rsid w:val="002C66DF"/>
    <w:rsid w:val="002E0EC9"/>
    <w:rsid w:val="002F1749"/>
    <w:rsid w:val="002F2338"/>
    <w:rsid w:val="002F39BD"/>
    <w:rsid w:val="00306C4B"/>
    <w:rsid w:val="003103AF"/>
    <w:rsid w:val="00331B41"/>
    <w:rsid w:val="00332631"/>
    <w:rsid w:val="003423F3"/>
    <w:rsid w:val="003425F2"/>
    <w:rsid w:val="00347F6A"/>
    <w:rsid w:val="00364FF9"/>
    <w:rsid w:val="00391B14"/>
    <w:rsid w:val="003935E6"/>
    <w:rsid w:val="003A556D"/>
    <w:rsid w:val="003C08F7"/>
    <w:rsid w:val="003C1DF0"/>
    <w:rsid w:val="003D4B63"/>
    <w:rsid w:val="003E558E"/>
    <w:rsid w:val="00404C8C"/>
    <w:rsid w:val="004170C6"/>
    <w:rsid w:val="0043667E"/>
    <w:rsid w:val="00441D82"/>
    <w:rsid w:val="00442BAA"/>
    <w:rsid w:val="00453B6C"/>
    <w:rsid w:val="004574F9"/>
    <w:rsid w:val="00463094"/>
    <w:rsid w:val="00471CC6"/>
    <w:rsid w:val="004D00F1"/>
    <w:rsid w:val="004D380A"/>
    <w:rsid w:val="004E1DB7"/>
    <w:rsid w:val="004F03EC"/>
    <w:rsid w:val="004F458B"/>
    <w:rsid w:val="005008F0"/>
    <w:rsid w:val="00507996"/>
    <w:rsid w:val="00530099"/>
    <w:rsid w:val="005362E5"/>
    <w:rsid w:val="00552455"/>
    <w:rsid w:val="005613A7"/>
    <w:rsid w:val="00571E51"/>
    <w:rsid w:val="005D4C09"/>
    <w:rsid w:val="005F6E62"/>
    <w:rsid w:val="0060781C"/>
    <w:rsid w:val="006240A4"/>
    <w:rsid w:val="00633F6B"/>
    <w:rsid w:val="0064797F"/>
    <w:rsid w:val="0065625F"/>
    <w:rsid w:val="00661BA9"/>
    <w:rsid w:val="0067507D"/>
    <w:rsid w:val="0068082B"/>
    <w:rsid w:val="0068324F"/>
    <w:rsid w:val="0069226B"/>
    <w:rsid w:val="006976EE"/>
    <w:rsid w:val="006A1B54"/>
    <w:rsid w:val="006B0D39"/>
    <w:rsid w:val="006B1076"/>
    <w:rsid w:val="006B1B0C"/>
    <w:rsid w:val="006D1654"/>
    <w:rsid w:val="006D3E3A"/>
    <w:rsid w:val="006E5908"/>
    <w:rsid w:val="00712849"/>
    <w:rsid w:val="00744B12"/>
    <w:rsid w:val="00747040"/>
    <w:rsid w:val="007646AA"/>
    <w:rsid w:val="00775216"/>
    <w:rsid w:val="00783DBF"/>
    <w:rsid w:val="00793FD4"/>
    <w:rsid w:val="007A4826"/>
    <w:rsid w:val="007A5CA3"/>
    <w:rsid w:val="007E58E4"/>
    <w:rsid w:val="007E6ECB"/>
    <w:rsid w:val="00800AF2"/>
    <w:rsid w:val="00855057"/>
    <w:rsid w:val="0086220C"/>
    <w:rsid w:val="00862303"/>
    <w:rsid w:val="008738E4"/>
    <w:rsid w:val="0087598C"/>
    <w:rsid w:val="00881CA8"/>
    <w:rsid w:val="0089731C"/>
    <w:rsid w:val="008A01C2"/>
    <w:rsid w:val="008C0612"/>
    <w:rsid w:val="00962B86"/>
    <w:rsid w:val="00964CD2"/>
    <w:rsid w:val="00971D14"/>
    <w:rsid w:val="009737FA"/>
    <w:rsid w:val="00991C2D"/>
    <w:rsid w:val="009931E7"/>
    <w:rsid w:val="009A7772"/>
    <w:rsid w:val="009E14DA"/>
    <w:rsid w:val="00A01113"/>
    <w:rsid w:val="00A07DC7"/>
    <w:rsid w:val="00A16AF3"/>
    <w:rsid w:val="00A54644"/>
    <w:rsid w:val="00A55CA2"/>
    <w:rsid w:val="00A75FD0"/>
    <w:rsid w:val="00A81107"/>
    <w:rsid w:val="00AC1347"/>
    <w:rsid w:val="00AC4AE6"/>
    <w:rsid w:val="00AF7F93"/>
    <w:rsid w:val="00B02B31"/>
    <w:rsid w:val="00B05AEB"/>
    <w:rsid w:val="00B13A0A"/>
    <w:rsid w:val="00B242DE"/>
    <w:rsid w:val="00B55C64"/>
    <w:rsid w:val="00B80B19"/>
    <w:rsid w:val="00B943CC"/>
    <w:rsid w:val="00BC2A21"/>
    <w:rsid w:val="00BC4FEE"/>
    <w:rsid w:val="00BD1C03"/>
    <w:rsid w:val="00BD2ADD"/>
    <w:rsid w:val="00BD70A6"/>
    <w:rsid w:val="00BD742D"/>
    <w:rsid w:val="00BE68A3"/>
    <w:rsid w:val="00C408FF"/>
    <w:rsid w:val="00C420BA"/>
    <w:rsid w:val="00C43704"/>
    <w:rsid w:val="00C550AA"/>
    <w:rsid w:val="00C804F8"/>
    <w:rsid w:val="00CA1D8C"/>
    <w:rsid w:val="00CB0255"/>
    <w:rsid w:val="00CE018A"/>
    <w:rsid w:val="00CE4A54"/>
    <w:rsid w:val="00D15D55"/>
    <w:rsid w:val="00D24F05"/>
    <w:rsid w:val="00D31291"/>
    <w:rsid w:val="00D356AD"/>
    <w:rsid w:val="00D60D99"/>
    <w:rsid w:val="00D63701"/>
    <w:rsid w:val="00D70ECB"/>
    <w:rsid w:val="00D75F4F"/>
    <w:rsid w:val="00D9647C"/>
    <w:rsid w:val="00DA1B1A"/>
    <w:rsid w:val="00DB0807"/>
    <w:rsid w:val="00DC0F83"/>
    <w:rsid w:val="00E0123F"/>
    <w:rsid w:val="00E1288E"/>
    <w:rsid w:val="00E1536A"/>
    <w:rsid w:val="00E2640C"/>
    <w:rsid w:val="00E3126E"/>
    <w:rsid w:val="00E35AA8"/>
    <w:rsid w:val="00E42FFB"/>
    <w:rsid w:val="00E4508B"/>
    <w:rsid w:val="00E454BA"/>
    <w:rsid w:val="00E5727E"/>
    <w:rsid w:val="00E750DA"/>
    <w:rsid w:val="00E84A70"/>
    <w:rsid w:val="00EA6D48"/>
    <w:rsid w:val="00EE33BF"/>
    <w:rsid w:val="00EF614D"/>
    <w:rsid w:val="00F0008C"/>
    <w:rsid w:val="00F11F81"/>
    <w:rsid w:val="00F47D15"/>
    <w:rsid w:val="00F57FE2"/>
    <w:rsid w:val="00F61A6A"/>
    <w:rsid w:val="00F635A3"/>
    <w:rsid w:val="00F66669"/>
    <w:rsid w:val="00F76EC5"/>
    <w:rsid w:val="00FC5CC6"/>
    <w:rsid w:val="00FD5A59"/>
    <w:rsid w:val="00FE19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6EB6276"/>
  <w15:docId w15:val="{FF29C862-C7DB-492F-AEFF-3BE7EAC9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EC Paper Body"/>
    <w:qFormat/>
    <w:rsid w:val="00CE018A"/>
    <w:pPr>
      <w:spacing w:after="120"/>
    </w:pPr>
    <w:rPr>
      <w:rFonts w:ascii="Arial" w:hAnsi="Arial"/>
      <w:color w:val="404040" w:themeColor="text1" w:themeTint="BF"/>
      <w:sz w:val="20"/>
    </w:rPr>
  </w:style>
  <w:style w:type="paragraph" w:styleId="Heading1">
    <w:name w:val="heading 1"/>
    <w:basedOn w:val="Normal"/>
    <w:next w:val="Normal"/>
    <w:link w:val="Heading1Char"/>
    <w:uiPriority w:val="9"/>
    <w:rsid w:val="000D0828"/>
    <w:pPr>
      <w:keepNext/>
      <w:keepLines/>
      <w:numPr>
        <w:numId w:val="1"/>
      </w:numPr>
      <w:spacing w:before="480" w:after="360"/>
      <w:ind w:left="357" w:hanging="357"/>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rsid w:val="000D0828"/>
    <w:pPr>
      <w:keepNext/>
      <w:keepLines/>
      <w:numPr>
        <w:numId w:val="2"/>
      </w:numPr>
      <w:spacing w:before="120"/>
      <w:ind w:left="357" w:hanging="357"/>
      <w:outlineLvl w:val="1"/>
    </w:pPr>
    <w:rPr>
      <w:rFonts w:eastAsiaTheme="majorEastAsia" w:cstheme="majorBidi"/>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basedOn w:val="DefaultParagraphFont"/>
    <w:link w:val="Heading1"/>
    <w:uiPriority w:val="9"/>
    <w:rsid w:val="000D0828"/>
    <w:rPr>
      <w:rFonts w:ascii="Arial" w:eastAsiaTheme="majorEastAsia" w:hAnsi="Arial" w:cstheme="majorBidi"/>
      <w:b/>
      <w:bCs/>
      <w:color w:val="404040" w:themeColor="text1" w:themeTint="BF"/>
      <w:sz w:val="28"/>
      <w:szCs w:val="28"/>
    </w:rPr>
  </w:style>
  <w:style w:type="character" w:customStyle="1" w:styleId="Heading2Char">
    <w:name w:val="Heading 2 Char"/>
    <w:basedOn w:val="DefaultParagraphFont"/>
    <w:link w:val="Heading2"/>
    <w:uiPriority w:val="9"/>
    <w:rsid w:val="000D0828"/>
    <w:rPr>
      <w:rFonts w:ascii="Arial" w:eastAsiaTheme="majorEastAsia" w:hAnsi="Arial" w:cstheme="majorBidi"/>
      <w:b/>
      <w:bCs/>
      <w:color w:val="404040" w:themeColor="text1" w:themeTint="BF"/>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Heading"/>
    <w:basedOn w:val="Normal"/>
    <w:next w:val="Normal"/>
    <w:link w:val="SubtitleChar"/>
    <w:autoRedefine/>
    <w:uiPriority w:val="11"/>
    <w:qFormat/>
    <w:rsid w:val="00800AF2"/>
    <w:pPr>
      <w:spacing w:before="480"/>
    </w:pPr>
    <w:rPr>
      <w:rFonts w:eastAsiaTheme="majorEastAsia" w:cstheme="majorBidi"/>
      <w:b/>
      <w:iCs/>
      <w:spacing w:val="15"/>
      <w:sz w:val="24"/>
      <w:szCs w:val="24"/>
    </w:rPr>
  </w:style>
  <w:style w:type="character" w:customStyle="1" w:styleId="SubtitleChar">
    <w:name w:val="Subtitle Char"/>
    <w:aliases w:val="Heading Char"/>
    <w:basedOn w:val="DefaultParagraphFont"/>
    <w:link w:val="Subtitle"/>
    <w:uiPriority w:val="11"/>
    <w:rsid w:val="00F57FE2"/>
    <w:rPr>
      <w:rFonts w:ascii="Arial" w:eastAsiaTheme="majorEastAsia" w:hAnsi="Arial" w:cstheme="majorBidi"/>
      <w:b/>
      <w:iCs/>
      <w:color w:val="404040" w:themeColor="text1" w:themeTint="BF"/>
      <w:spacing w:val="15"/>
      <w:sz w:val="24"/>
      <w:szCs w:val="24"/>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SEC Bullet Point,Dot pt,No Spacing1,List Paragraph Char Char Char,Indicator Text,Numbered Para 1,List Paragraph1,Bullet 1,Bullet Points,MAIN CONTENT,List Paragraph12,List Para"/>
    <w:basedOn w:val="Normal"/>
    <w:link w:val="ListParagraphChar"/>
    <w:uiPriority w:val="34"/>
    <w:qFormat/>
    <w:rsid w:val="00EE33BF"/>
    <w:pPr>
      <w:numPr>
        <w:numId w:val="4"/>
      </w:numPr>
      <w:ind w:left="777" w:hanging="357"/>
    </w:pPr>
  </w:style>
  <w:style w:type="paragraph" w:customStyle="1" w:styleId="SECPaperTitle">
    <w:name w:val="SEC Paper Title"/>
    <w:basedOn w:val="Title"/>
    <w:link w:val="SECPaperTitleChar"/>
    <w:qFormat/>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8"/>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qFormat/>
    <w:rsid w:val="00267F7B"/>
    <w:pPr>
      <w:ind w:left="709" w:hanging="709"/>
      <w:jc w:val="right"/>
    </w:pPr>
    <w:rPr>
      <w:i/>
    </w:rPr>
  </w:style>
  <w:style w:type="paragraph" w:customStyle="1" w:styleId="Subheading">
    <w:name w:val="Subheading"/>
    <w:basedOn w:val="Subtitle"/>
    <w:next w:val="Normal"/>
    <w:qFormat/>
    <w:rsid w:val="00F57FE2"/>
    <w:pPr>
      <w:numPr>
        <w:ilvl w:val="1"/>
      </w:numPr>
      <w:spacing w:before="0"/>
    </w:pPr>
    <w:rPr>
      <w:sz w:val="20"/>
    </w:rPr>
  </w:style>
  <w:style w:type="numbering" w:customStyle="1" w:styleId="Subtitles">
    <w:name w:val="Subtitles"/>
    <w:uiPriority w:val="99"/>
    <w:rsid w:val="00A75FD0"/>
    <w:pPr>
      <w:numPr>
        <w:numId w:val="19"/>
      </w:numPr>
    </w:pPr>
  </w:style>
  <w:style w:type="paragraph" w:customStyle="1" w:styleId="TableHeading">
    <w:name w:val="Table Heading"/>
    <w:basedOn w:val="Normal"/>
    <w:link w:val="TableHeadingChar"/>
    <w:qFormat/>
    <w:rsid w:val="003C08F7"/>
    <w:pPr>
      <w:spacing w:after="0" w:line="240" w:lineRule="auto"/>
      <w:jc w:val="center"/>
    </w:pPr>
    <w:rPr>
      <w:rFonts w:eastAsiaTheme="minorEastAsia" w:cs="Arial"/>
      <w:b/>
      <w:color w:val="FFFFFF" w:themeColor="background1"/>
      <w:sz w:val="22"/>
      <w:lang w:eastAsia="en-GB"/>
    </w:rPr>
  </w:style>
  <w:style w:type="character" w:customStyle="1" w:styleId="TableHeadingChar">
    <w:name w:val="Table Heading Char"/>
    <w:basedOn w:val="DefaultParagraphFont"/>
    <w:link w:val="TableHeading"/>
    <w:rsid w:val="003C08F7"/>
    <w:rPr>
      <w:rFonts w:ascii="Arial" w:eastAsiaTheme="minorEastAsia" w:hAnsi="Arial" w:cs="Arial"/>
      <w:b/>
      <w:color w:val="FFFFFF" w:themeColor="background1"/>
      <w:lang w:eastAsia="en-GB"/>
    </w:rPr>
  </w:style>
  <w:style w:type="character" w:customStyle="1" w:styleId="ListParagraphChar">
    <w:name w:val="List Paragraph Char"/>
    <w:aliases w:val="SEC Bullet Point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3C08F7"/>
    <w:rPr>
      <w:rFonts w:ascii="Arial" w:hAnsi="Arial"/>
      <w:color w:val="404040" w:themeColor="text1" w:themeTint="BF"/>
      <w:sz w:val="20"/>
    </w:rPr>
  </w:style>
  <w:style w:type="table" w:customStyle="1" w:styleId="TableGrid1">
    <w:name w:val="Table Grid1"/>
    <w:basedOn w:val="TableNormal"/>
    <w:uiPriority w:val="59"/>
    <w:rsid w:val="003C08F7"/>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C46E7"/>
    <w:rPr>
      <w:sz w:val="16"/>
      <w:szCs w:val="16"/>
    </w:rPr>
  </w:style>
  <w:style w:type="paragraph" w:styleId="CommentText">
    <w:name w:val="annotation text"/>
    <w:basedOn w:val="Normal"/>
    <w:link w:val="CommentTextChar"/>
    <w:uiPriority w:val="99"/>
    <w:semiHidden/>
    <w:unhideWhenUsed/>
    <w:rsid w:val="000C46E7"/>
    <w:pPr>
      <w:spacing w:line="240" w:lineRule="auto"/>
    </w:pPr>
    <w:rPr>
      <w:szCs w:val="20"/>
    </w:rPr>
  </w:style>
  <w:style w:type="character" w:customStyle="1" w:styleId="CommentTextChar">
    <w:name w:val="Comment Text Char"/>
    <w:basedOn w:val="DefaultParagraphFont"/>
    <w:link w:val="CommentText"/>
    <w:uiPriority w:val="99"/>
    <w:semiHidden/>
    <w:rsid w:val="000C46E7"/>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0C46E7"/>
    <w:rPr>
      <w:b/>
      <w:bCs/>
    </w:rPr>
  </w:style>
  <w:style w:type="character" w:customStyle="1" w:styleId="CommentSubjectChar">
    <w:name w:val="Comment Subject Char"/>
    <w:basedOn w:val="CommentTextChar"/>
    <w:link w:val="CommentSubject"/>
    <w:uiPriority w:val="99"/>
    <w:semiHidden/>
    <w:rsid w:val="000C46E7"/>
    <w:rPr>
      <w:rFonts w:ascii="Arial" w:hAnsi="Arial"/>
      <w:b/>
      <w:bCs/>
      <w:color w:val="404040" w:themeColor="text1" w:themeTint="BF"/>
      <w:sz w:val="20"/>
      <w:szCs w:val="20"/>
    </w:rPr>
  </w:style>
  <w:style w:type="character" w:styleId="Hyperlink">
    <w:name w:val="Hyperlink"/>
    <w:basedOn w:val="DefaultParagraphFont"/>
    <w:uiPriority w:val="99"/>
    <w:unhideWhenUsed/>
    <w:rsid w:val="00EF614D"/>
    <w:rPr>
      <w:color w:val="0000FF" w:themeColor="hyperlink"/>
      <w:u w:val="single"/>
    </w:rPr>
  </w:style>
  <w:style w:type="character" w:styleId="UnresolvedMention">
    <w:name w:val="Unresolved Mention"/>
    <w:basedOn w:val="DefaultParagraphFont"/>
    <w:uiPriority w:val="99"/>
    <w:semiHidden/>
    <w:unhideWhenUsed/>
    <w:rsid w:val="00EF61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98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enduring-approach-to-communication-hub-firmware-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cid:image001.png@01CF4DB1.05F9C98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53E54-EF60-4AFB-B216-754D8CFA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SECMP0007 Working Group Meeting summary - 1 May 2019</vt:lpstr>
    </vt:vector>
  </TitlesOfParts>
  <Company>Gemserv</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SECMP0007 Working Group Meeting summary - 1 May 2019</dc:title>
  <dc:creator>Joe Hehir</dc:creator>
  <cp:lastModifiedBy>Alison Beard</cp:lastModifiedBy>
  <cp:revision>2</cp:revision>
  <dcterms:created xsi:type="dcterms:W3CDTF">2019-05-07T14:01:00Z</dcterms:created>
  <dcterms:modified xsi:type="dcterms:W3CDTF">2019-05-07T14:01:00Z</dcterms:modified>
</cp:coreProperties>
</file>